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42" w:rsidRDefault="003E1142" w:rsidP="003E1142">
      <w:pPr>
        <w:tabs>
          <w:tab w:val="left" w:pos="360"/>
          <w:tab w:val="left" w:pos="540"/>
          <w:tab w:val="left" w:pos="720"/>
        </w:tabs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 №1 ОБЩИЕ ПОЛОЖЕНИЯ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коллективный договор заключен между работодателем и работниками, и является правовым актом, регулирующим социально-трудовые отношения в муниципальном бюджетном дошкольном образовательном учреждении «Детский сад № 31 «Зайчик» комбинированного вида города Белово» и вступает в силу с 20 марта 2014 г.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Коллективный договор заключен в соответствии с трудовым кодексом РФ (далее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прав, профессиональных интересов работников общеобразовательного учреждения (далее учреждение) и установлению дополнительных социально-экономических, профессиональных, правовых гарантий, льгот и преимуществ для работников, а также по созданию более благоприятных условий труда по сравнению с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установленными законами, иными нормативными правовыми актами, отраслевым тарифным соглашением, региональными территориальным соглашением (указываются полные названия соглашений).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Сторонами коллективного договора являются: работники учреждения, являющиеся членами профсоюза, в лице их представителя первичной профсоюзной организации (далее профком); работодатель в лице его представителя – заведующей </w:t>
      </w:r>
      <w:proofErr w:type="spellStart"/>
      <w:r>
        <w:rPr>
          <w:rFonts w:ascii="Times New Roman" w:hAnsi="Times New Roman"/>
          <w:sz w:val="24"/>
          <w:szCs w:val="24"/>
        </w:rPr>
        <w:t>Комышевой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Ивановны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 (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30,31) 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коллективного договора распространяется на всех работников учреждения.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текст коллективного договора должен быть доведен работодателем до сведения работников в течение семи дней после его подписания.</w:t>
      </w: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Профком обязуется разъяснить работникам положения коллективного договора, содействовать его реализации.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смене формы собственности учреждения коллективный договор сохраняет свое действие в течение трех месяцев со дня перехода права собственности.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срока действия коллективного договора, стороны вправе вносить в него дополнения и изменения на основе взаимной договоренности в порядке, установленном ТК РФ.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спорные вопросы по толкованию и реализаций положений коллективного договора решаются сторонами.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его сторонами (либо с даты, указанной в коллективном договоре по соглашению сторон).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оплате труда работников;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компенсационных выплатах;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стимулирующих выплатах;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по охране труда;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штатная расстановка работников - на 1 января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расходов детского сада;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профессий и должностей работников, занятых на работах с вредными условиями труда для предоставления им ежегодного дополнительного оплачиваемого отпуска;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профессий и должностей работников, имеющих право на обеспечение специальной одеждой и другими средствами индивидуальной защиты, а также моющими средствами и обезвреживающими средствами;</w:t>
      </w:r>
    </w:p>
    <w:p w:rsidR="003E1142" w:rsidRDefault="003E1142" w:rsidP="003E1142">
      <w:pPr>
        <w:pStyle w:val="a3"/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оснований предоставления материальной помощи работникам и ее размеры.</w:t>
      </w:r>
    </w:p>
    <w:p w:rsidR="003E1142" w:rsidRDefault="003E1142" w:rsidP="003E1142">
      <w:pPr>
        <w:pStyle w:val="a3"/>
        <w:numPr>
          <w:ilvl w:val="1"/>
          <w:numId w:val="1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определяют следующие формы управления учреждением непосредственно работниками через профком:</w:t>
      </w:r>
    </w:p>
    <w:p w:rsidR="003E1142" w:rsidRDefault="003E1142" w:rsidP="003E1142">
      <w:pPr>
        <w:pStyle w:val="a3"/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мнения профкома;</w:t>
      </w:r>
    </w:p>
    <w:p w:rsidR="003E1142" w:rsidRDefault="003E1142" w:rsidP="003E1142">
      <w:pPr>
        <w:pStyle w:val="a3"/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Консультациями с работодателем по вопросам принятия локальных нормативных актов;</w:t>
      </w:r>
    </w:p>
    <w:p w:rsidR="003E1142" w:rsidRDefault="003E1142" w:rsidP="003E1142">
      <w:pPr>
        <w:pStyle w:val="a3"/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от работодателя информации по вопросам, непосредственно затрагивающим интересы работников, также по иным вопросам, предусмотренным в настоящем коллективным договоре;</w:t>
      </w:r>
    </w:p>
    <w:p w:rsidR="003E1142" w:rsidRDefault="003E1142" w:rsidP="003E1142">
      <w:pPr>
        <w:pStyle w:val="a3"/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с работодателем вопросов о работе учреждения, внесении предложений по ее совершенствованию;</w:t>
      </w:r>
    </w:p>
    <w:p w:rsidR="003E1142" w:rsidRDefault="003E1142" w:rsidP="003E1142">
      <w:pPr>
        <w:pStyle w:val="a3"/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и принятии коллективного договора.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2 ТРУДОВОЙ ДОГОВОР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трудового договора, порядок его заключения, изменения и расторжения определяется в соответствии с ТК РФ, другими законодательными и нормативными 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трудовом договоре оговариваются существенные условия трудового договора, предусмотренные ст. 57 ТК РФ, в том числе объем нагрузки, режим и продолжительность рабочего времени и др.</w:t>
      </w: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Условия трудового договора могут быть изменены только по соглашению сторон и в письменной форме (ст. 57 ТК РФ).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или увеличение нагрузки педагогического работника в течение рабочего года по сравнению с нагрузкой, оговоренной в трудовом договоре или приказе руководителя учреждения возможны только:</w:t>
      </w:r>
    </w:p>
    <w:p w:rsidR="003E1142" w:rsidRDefault="003E1142" w:rsidP="003E1142">
      <w:pPr>
        <w:pStyle w:val="a3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взаимному соглашению сторон;</w:t>
      </w:r>
    </w:p>
    <w:p w:rsidR="003E1142" w:rsidRDefault="003E1142" w:rsidP="003E1142">
      <w:pPr>
        <w:pStyle w:val="a3"/>
        <w:numPr>
          <w:ilvl w:val="0"/>
          <w:numId w:val="5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работодателя в случаях:</w:t>
      </w: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временного увеличения объема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года);</w:t>
      </w: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возвращение на работу женщины, прервавшей отпуск по уходу за ребенком до достижения им трех лет, или после окончания этого отпуска. В указанных в подпункте «б» случаях для изменения нагрузки по инициативе работодателя согласие работника не требуется.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работодателя изменения существенных условий трудового договора допускается, как правило, только на новый учебный год в связи с изменениями организационных условий труда (изменения числа групп или воспитанников).</w:t>
      </w: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 введении изменений существенных условий  трудового договора работник должен быть уведомлен работодателем в письменной форме не позднее, чем за два месяца (ст. ст. 73, 162 ТК РФ).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внутреннего трудового распорядка и иными локальными нормативными актами, действующими в учреждении.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3 ПРОФЕССИОНАЛЬНАЯ ПОДГОТОВКА, ПЕРЕПОДГОТОВКА И ПОВЫШЕНИЕ КВАЛИФИКАЦИИ РАБОТНИКОВ.</w:t>
      </w:r>
    </w:p>
    <w:p w:rsidR="003E1142" w:rsidRDefault="003E1142" w:rsidP="003E1142">
      <w:pPr>
        <w:pStyle w:val="a3"/>
        <w:numPr>
          <w:ilvl w:val="0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пришли к соглашению в том, что: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на каждый календарный год с учетом перспектив развития учреждения.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обязуется:</w:t>
      </w:r>
    </w:p>
    <w:p w:rsidR="003E1142" w:rsidRDefault="003E1142" w:rsidP="003E1142">
      <w:pPr>
        <w:pStyle w:val="a3"/>
        <w:numPr>
          <w:ilvl w:val="0"/>
          <w:numId w:val="6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Повышать квалификацию ст. 22 педагогических работников не реже чем один раз в три  года. </w:t>
      </w:r>
      <w:proofErr w:type="gramStart"/>
      <w:r>
        <w:rPr>
          <w:rFonts w:ascii="Times New Roman" w:hAnsi="Times New Roman"/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работы;</w:t>
      </w:r>
      <w:proofErr w:type="gramEnd"/>
    </w:p>
    <w:p w:rsidR="003E1142" w:rsidRDefault="003E1142" w:rsidP="003E1142">
      <w:pPr>
        <w:pStyle w:val="a3"/>
        <w:numPr>
          <w:ilvl w:val="0"/>
          <w:numId w:val="6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гарантии и компенсации работникам, совмещающим работу с успешным обучением в учреждениях высшего, среднего и профессионального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начального образования при получении ими образования соответствующего уровня впервые в порядке, </w:t>
      </w:r>
      <w:proofErr w:type="spellStart"/>
      <w:r>
        <w:rPr>
          <w:rFonts w:ascii="Times New Roman" w:hAnsi="Times New Roman"/>
          <w:sz w:val="24"/>
          <w:szCs w:val="24"/>
        </w:rPr>
        <w:t>предумотренном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 173-176 ТК РФ.</w:t>
      </w: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4 ВЫСВОБОЖДЕНИЕ РАБОТНИКОВ И СОДЕЙСТВИЕ ИХ ТРУДОУСТРОЙСТВУ</w:t>
      </w: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E1142" w:rsidRDefault="003E1142" w:rsidP="003E1142">
      <w:pPr>
        <w:pStyle w:val="a3"/>
        <w:numPr>
          <w:ilvl w:val="0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обязуется: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 не позднее, чем за три месяца до его начала (ст. 82 ТК РФ). Уведомление должно содержать проекты приказов о сокращении численности или штата, список сокращаемых должностей и работников, перечень вакансий, предлагаемые варианты трудоустройства.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Работникам, получившим уведомление об увольнении по п. 1 и п. 2 ст. 81 ТК РФ, предоставляет свободное от работы время для самостоятельного поиска новой работы с сохранением заработной платы.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Увольнение членов профсоюза по инициативе работодателя в связи с ликвидацией учреждения (п. 1 ст. 81 ТК РФ) и сокращением численности или штат (п. 2 ст. 81 ТК РФ) производить с учетом мнения профкома (ст. 82 ТК РФ).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 что:</w:t>
      </w:r>
    </w:p>
    <w:p w:rsidR="003E1142" w:rsidRDefault="003E1142" w:rsidP="003E1142">
      <w:pPr>
        <w:pStyle w:val="a3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Преимущественное право на оставление на работе при сокращении численности или штат при равной производительности труда и квалификации помимо лиц, указанных в ст. 179 ТК РФ, имеют также: проработавшие в учреждении свыше 10 лет; одинокие матери и отцы, воспитывающие детей до 16 лет; родители, воспитывающие детей инвалидов до 18 лет; награжденные государственными наградами в связи с педагогической деятельностью;</w:t>
      </w:r>
      <w:proofErr w:type="gramEnd"/>
      <w:r>
        <w:rPr>
          <w:rFonts w:ascii="Times New Roman" w:hAnsi="Times New Roman"/>
          <w:sz w:val="24"/>
          <w:szCs w:val="24"/>
        </w:rPr>
        <w:t xml:space="preserve"> не освобожденные председатели первичных профсоюзных организаций; молодые специалисты, имеющие трудовой стаж менее одного года.</w:t>
      </w:r>
    </w:p>
    <w:p w:rsidR="003E1142" w:rsidRDefault="003E1142" w:rsidP="003E1142">
      <w:pPr>
        <w:pStyle w:val="a3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E1142" w:rsidRP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5 РАБОЧЕЕ ВРЕМЯ И ВРЕМЯ ОТДЫХА</w:t>
      </w:r>
    </w:p>
    <w:p w:rsidR="003E1142" w:rsidRPr="003E1142" w:rsidRDefault="003E1142" w:rsidP="003E1142">
      <w:pPr>
        <w:pStyle w:val="a3"/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E1142" w:rsidRDefault="003E1142" w:rsidP="003E1142">
      <w:pPr>
        <w:pStyle w:val="a3"/>
        <w:numPr>
          <w:ilvl w:val="0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пришли к соглашению в том, что: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работников определяется Правилами внутреннего трудового распорядка учреждения (ст. 91 ТК РФ), годовой циклограммой учебно-воспитательной работы, графиком сменности утверждаемыми работодателем с учетом мнения профкома, а также условиями трудового договора, должностными инструкциями работников и обязанностями, возлагаемых на них Уставом учреждения.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руководящих работников, работников из числа административно хозяйственного, учебно-вспомогательного и обслуживающего персонала учреждения </w:t>
      </w:r>
      <w:r>
        <w:rPr>
          <w:rFonts w:ascii="Times New Roman" w:hAnsi="Times New Roman"/>
          <w:sz w:val="24"/>
          <w:szCs w:val="24"/>
        </w:rPr>
        <w:lastRenderedPageBreak/>
        <w:t>устанавливается нормальная продолжительность рабочего времени, которая не может превышать 40 часов в неделю.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 333 ТК РФ).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выходные и нерабочие, праздничные дни запрещена.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 предусмотренных ст. 99 ТК РФ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работодателя, с письменного согласия работника, и с дополнительной оплатой, в порядке, предусмотренном Положением об оплате труда.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летний период педагогов, учебно-вспомогательный и обслуживающий персонал привлекается к выполнению хозяйственных работ, не требующих специальных знаний (мелкий ремонт, побелка, покраска, работа на территории, охрана учреждения и др.), в пределах установленного им рабочего времени.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3E1142" w:rsidRDefault="003E1142" w:rsidP="003E1142">
      <w:pPr>
        <w:pStyle w:val="a3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времени отпуска работник должен быть извещен не позднее, чем за две недели до его начала.</w:t>
      </w:r>
    </w:p>
    <w:p w:rsidR="003E1142" w:rsidRDefault="003E1142" w:rsidP="003E1142">
      <w:pPr>
        <w:pStyle w:val="a3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Продление, перенесение, разделение и отзыв из него производится с согласия работника в случаях, предусмотренных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124, 125 ТК РФ.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обязуется:</w:t>
      </w:r>
    </w:p>
    <w:p w:rsidR="003E1142" w:rsidRDefault="003E1142" w:rsidP="003E1142">
      <w:pPr>
        <w:pStyle w:val="a3"/>
        <w:numPr>
          <w:ilvl w:val="2"/>
          <w:numId w:val="4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в связи с вредностью производства ежегодный дополнительный оплачиваемый отпуск следующим работникам:</w:t>
      </w:r>
    </w:p>
    <w:p w:rsidR="003E1142" w:rsidRDefault="003E1142" w:rsidP="003E1142">
      <w:pPr>
        <w:pStyle w:val="a3"/>
        <w:numPr>
          <w:ilvl w:val="0"/>
          <w:numId w:val="9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Машинистам по стирке белья и ремонту одежды – 7 дней;</w:t>
      </w:r>
    </w:p>
    <w:p w:rsidR="003E1142" w:rsidRDefault="003E1142" w:rsidP="003E1142">
      <w:pPr>
        <w:pStyle w:val="a3"/>
        <w:numPr>
          <w:ilvl w:val="0"/>
          <w:numId w:val="9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Поварам, постоянно работающим у плиты – 7 дней;</w:t>
      </w:r>
    </w:p>
    <w:p w:rsidR="003E1142" w:rsidRDefault="003E1142" w:rsidP="003E1142">
      <w:pPr>
        <w:pStyle w:val="a3"/>
        <w:numPr>
          <w:ilvl w:val="0"/>
          <w:numId w:val="9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Воспитателям логопедических групп – 14 дней;</w:t>
      </w:r>
    </w:p>
    <w:p w:rsidR="003E1142" w:rsidRDefault="003E1142" w:rsidP="003E1142">
      <w:pPr>
        <w:pStyle w:val="a3"/>
        <w:numPr>
          <w:ilvl w:val="0"/>
          <w:numId w:val="9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Медицинским работникам – 14 дней.</w:t>
      </w:r>
    </w:p>
    <w:p w:rsidR="003E1142" w:rsidRDefault="003E1142" w:rsidP="003E1142">
      <w:pPr>
        <w:pStyle w:val="a3"/>
        <w:numPr>
          <w:ilvl w:val="2"/>
          <w:numId w:val="4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работникам отпуск (без сохранения заработной платы) в следующих случаях:</w:t>
      </w:r>
    </w:p>
    <w:p w:rsidR="003E1142" w:rsidRDefault="003E1142" w:rsidP="003E1142">
      <w:pPr>
        <w:pStyle w:val="a3"/>
        <w:numPr>
          <w:ilvl w:val="0"/>
          <w:numId w:val="10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бракосочетанием – 3 дня;</w:t>
      </w:r>
    </w:p>
    <w:p w:rsidR="003E1142" w:rsidRDefault="003E1142" w:rsidP="003E1142">
      <w:pPr>
        <w:pStyle w:val="a3"/>
        <w:numPr>
          <w:ilvl w:val="0"/>
          <w:numId w:val="10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проводов детей в армию – 2 дня;</w:t>
      </w:r>
    </w:p>
    <w:p w:rsidR="003E1142" w:rsidRDefault="003E1142" w:rsidP="003E1142">
      <w:pPr>
        <w:pStyle w:val="a3"/>
        <w:numPr>
          <w:ilvl w:val="0"/>
          <w:numId w:val="10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похороны близких родственников – 3 дня.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воспитанниками.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РФ), без выхода из здания.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ст. 262 ТК РФ женщинам, имеющим детей-инвалидов, предоставляется 1 выходной оплачиваемый день в неделю, но не более четырех дней в месяц.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  <w:szCs w:val="24"/>
        </w:rPr>
        <w:t>Тулеевские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часы». Ими пользуются женщины, имеющие детей в возрасте до 16 лет, в пятницу рабочий день у них на 1 час короче.</w:t>
      </w:r>
    </w:p>
    <w:p w:rsidR="003E1142" w:rsidRDefault="003E1142" w:rsidP="003E1142">
      <w:pPr>
        <w:pStyle w:val="a3"/>
        <w:numPr>
          <w:ilvl w:val="1"/>
          <w:numId w:val="4"/>
        </w:numPr>
        <w:tabs>
          <w:tab w:val="left" w:pos="360"/>
          <w:tab w:val="left" w:pos="540"/>
          <w:tab w:val="left" w:pos="567"/>
          <w:tab w:val="left" w:pos="72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внеочередной отпуск вне графика при наличии медицинских показателей и санаторно-курортной путевки.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6 ОРГАНИЗАЦИЯ ОПЛАТЫ ТРУДА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работников детского сада осуществляется на основе: единого тарифно-квалификационного справочника работ и рабочих профессий; единого квалификационного справочника должностей руководителей, специалистов и служащих.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выплачивается работникам за текущий месяц не реже, чем каждые полмесяца в денежной форме (ст. 136 ТК РФ), аванс до 25 числа текущего месяца, заработная плата до 10 числа последующего месяца.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Заработная плата исчисляется в соответствии с НСОТ, </w:t>
      </w:r>
      <w:proofErr w:type="gramStart"/>
      <w:r>
        <w:rPr>
          <w:rFonts w:ascii="Times New Roman" w:hAnsi="Times New Roman"/>
          <w:sz w:val="24"/>
          <w:szCs w:val="24"/>
        </w:rPr>
        <w:t>предусмотренной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E1142" w:rsidRDefault="003E1142" w:rsidP="003E1142">
      <w:pPr>
        <w:numPr>
          <w:ilvl w:val="0"/>
          <w:numId w:val="12"/>
        </w:numPr>
        <w:tabs>
          <w:tab w:val="left" w:pos="360"/>
          <w:tab w:val="left" w:pos="540"/>
          <w:tab w:val="left" w:pos="720"/>
        </w:tabs>
        <w:spacing w:after="0"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об оплате труда работников;</w:t>
      </w:r>
    </w:p>
    <w:p w:rsidR="003E1142" w:rsidRDefault="003E1142" w:rsidP="003E1142">
      <w:pPr>
        <w:numPr>
          <w:ilvl w:val="0"/>
          <w:numId w:val="12"/>
        </w:numPr>
        <w:tabs>
          <w:tab w:val="left" w:pos="360"/>
          <w:tab w:val="left" w:pos="540"/>
          <w:tab w:val="left" w:pos="720"/>
        </w:tabs>
        <w:spacing w:after="0"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об установлении компенсационных выплат за дополнительную работу, не входящую в круг должностных обязанностей работников;</w:t>
      </w:r>
    </w:p>
    <w:p w:rsidR="003E1142" w:rsidRDefault="003E1142" w:rsidP="003E1142">
      <w:pPr>
        <w:numPr>
          <w:ilvl w:val="0"/>
          <w:numId w:val="12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распределении стимулирующей </w:t>
      </w:r>
      <w:proofErr w:type="gramStart"/>
      <w:r>
        <w:rPr>
          <w:rFonts w:ascii="Times New Roman" w:hAnsi="Times New Roman"/>
          <w:sz w:val="24"/>
          <w:szCs w:val="24"/>
        </w:rPr>
        <w:t>части фонда оплаты труда работников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E1142" w:rsidRDefault="003E1142" w:rsidP="003E1142">
      <w:pPr>
        <w:numPr>
          <w:ilvl w:val="0"/>
          <w:numId w:val="12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Выплаты, обусловленные районом – регулируются;</w:t>
      </w:r>
    </w:p>
    <w:p w:rsidR="003E1142" w:rsidRDefault="003E1142" w:rsidP="003E1142">
      <w:pPr>
        <w:numPr>
          <w:ilvl w:val="0"/>
          <w:numId w:val="12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выплаты, предусмотренные действующим законодательством, положением об оплате труда, локальными нормативными актами учреждения.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должностных окладов  и  ставок заработной платы производится:</w:t>
      </w:r>
    </w:p>
    <w:p w:rsidR="003E1142" w:rsidRDefault="003E1142" w:rsidP="003E1142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увеличении стажа педагогической работы, стажа работы по специальности – со дня достижения соответствующего стажа, дающего право на повышение размера ставки заработной платы;</w:t>
      </w:r>
    </w:p>
    <w:p w:rsidR="003E1142" w:rsidRDefault="003E1142" w:rsidP="003E1142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образования или восстановления документов об образовании – со дня предоставления соответствующего документа;</w:t>
      </w:r>
    </w:p>
    <w:p w:rsidR="003E1142" w:rsidRDefault="003E1142" w:rsidP="003E1142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присвоении квалификационной категории – со дня вынесения решения аттестационной комиссией;</w:t>
      </w:r>
    </w:p>
    <w:p w:rsidR="003E1142" w:rsidRDefault="003E1142" w:rsidP="003E1142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присвоении почетного звания – со дня присвоения;</w:t>
      </w:r>
    </w:p>
    <w:p w:rsidR="003E1142" w:rsidRDefault="003E1142" w:rsidP="003E1142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присуждении ученой степени – со дня вынесения ВАК решения о выдаче диплома.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наступлении у работника права на изменение разряда оплаты труда и ставки заработной платы в период пребывания его в ежегодном или другом отпуске, а также в период его временной нетрудоспособности выплата заработной платы, исходя из размера ставки более высокого разряда оплаты труда, производится со дня окончания отпуска или временной нетрудоспособности.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обязуется:</w:t>
      </w:r>
    </w:p>
    <w:p w:rsidR="003E1142" w:rsidRDefault="003E1142" w:rsidP="003E1142">
      <w:pPr>
        <w:numPr>
          <w:ilvl w:val="0"/>
          <w:numId w:val="14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Возместить работникам материальный ущерб. </w:t>
      </w:r>
      <w:proofErr w:type="gramStart"/>
      <w:r>
        <w:rPr>
          <w:rFonts w:ascii="Times New Roman" w:hAnsi="Times New Roman"/>
          <w:sz w:val="24"/>
          <w:szCs w:val="24"/>
        </w:rPr>
        <w:t>Причиненный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результате незаконного лишения их возможности трудиться в случае приостановки работы в порядке, предусмотренном статьей 157 ТК РФ, в размере 2/3 заработка.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Ответственность за своевременность и правильность определения размеров и выплаты заработной платы работникам несет заведующая детским садом. При выплате заработной платы производится выдача каждому работнику расчетного листа, где указываются составные части причитающейся работнику заработной платы, размеры и основания произведенных удержаний, а также общая сумма, подлежащая выдаче.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за весь период ежегодного отпуска выплачивается не позднее, чем за три дня до его начала.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педагогических работников сверх установленных норм, за которые им  выплачивается должностной оклад, а также других работников детского сада без занятия штатной должности оплачивается дополнительно.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несвоевременных выплат, неправильного начисления заработной платы работникам детского сада или других нарушений оплаты труда по вине ответственных исполнителей, виновные </w:t>
      </w:r>
      <w:proofErr w:type="gramStart"/>
      <w:r>
        <w:rPr>
          <w:rFonts w:ascii="Times New Roman" w:hAnsi="Times New Roman"/>
          <w:sz w:val="24"/>
          <w:szCs w:val="24"/>
        </w:rPr>
        <w:t>несут наказание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результатам служебного расследования или по решению Комиссии по трудовым спорам в соответствии с Правилами внутреннего распорядка ТК РФ и федеральными законами.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нагрузки сверх индивидуального плана производится только с согласия работника. Дополнительная нагрузка в этом случае оплачивается по дополнительному соглашению.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своевременно информирует работников детского сада обо всех изменениях, связанных с начислением заработной платы.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обязуется извещать в письменной форме работников детского сада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совпадении дня оплаты труда с выходным или нерабочим праздничным днем выплата заработной платы производится накануне этого дня.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Работникам, выполняющим наряду со своей основной работой обязанности временно отсутствующих работников (кроме заместителей руководителей, получающих за это доплату), производится доплата из средств экономии ФОТ, в соответствии с Положением об оплате труда работников.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 соглашению с соответствующим выборным профсоюзным органом, поощряет работников за успехи в работе, оказывает материальную помощь в соответствии с Положением о распределении стимулирующей </w:t>
      </w:r>
      <w:proofErr w:type="gramStart"/>
      <w:r>
        <w:rPr>
          <w:rFonts w:ascii="Times New Roman" w:hAnsi="Times New Roman"/>
          <w:sz w:val="24"/>
          <w:szCs w:val="24"/>
        </w:rPr>
        <w:t>части фонда оплаты труда работников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структурных подразделений обязаны регулярно информировать членов трудового коллектива о размерах надбавок, доплат, поощрений, установленных работникам на собраниях, педагогических советах.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исходят из того, что:</w:t>
      </w:r>
    </w:p>
    <w:p w:rsidR="003E1142" w:rsidRDefault="003E1142" w:rsidP="003E1142">
      <w:pPr>
        <w:numPr>
          <w:ilvl w:val="2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выплачивается работникам не реже, чем каждые полмесяца в денежной форме. Дни выплаты заработной платы согласовываются с управлением образования.</w:t>
      </w:r>
    </w:p>
    <w:p w:rsidR="003E1142" w:rsidRDefault="003E1142" w:rsidP="003E1142">
      <w:pPr>
        <w:numPr>
          <w:ilvl w:val="2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разрядов оплаты труда и размеров ставок заработной платы производится:</w:t>
      </w:r>
    </w:p>
    <w:p w:rsidR="003E1142" w:rsidRDefault="003E1142" w:rsidP="003E1142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присвоении квалификационной категории – со дня вынесения решения аттестационной комиссией.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Ответственность за своевременность и правильность определения размеров и выплат заработной платы работникам несет Управление образования.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РАЗДЕЛ № 7 ГАРАНТИИ И КОМПЕНСАЦИИ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E1142" w:rsidRDefault="003E1142" w:rsidP="003E1142">
      <w:pPr>
        <w:numPr>
          <w:ilvl w:val="0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работодатель: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учет работников, нуждающихся в улучшении жилищных условий.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Ходатайствует перед  Управлением образования, о предоставлении жилья нуждающимся работникам и выделении ссуд на его приобретение (строительство).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 ежемесячно.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РАЗДЕЛ № 8 ОХРАНА ТРУДА И ЗДОРОВЬЯ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E1142" w:rsidRDefault="003E1142" w:rsidP="003E1142">
      <w:pPr>
        <w:numPr>
          <w:ilvl w:val="0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обязуется: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возникновения профессиональных заболеваний работников (ст. 219 ТК РФ).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 учреждении аттестацию рабочих мест и по ее результатам осуществлять работу по охране и безопасности труда в порядке и сроки, установленные по согласованию профкома, с последующей сертификацией.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аттестационной комиссии в обязательном порядке включить членов профкома и комиссии по охране труда.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проверку знаний работников учреждения по охране труда на начало учебного года.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(ст.220 ТК РФ).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</w:t>
      </w:r>
      <w:r>
        <w:rPr>
          <w:rFonts w:ascii="Times New Roman" w:hAnsi="Times New Roman"/>
          <w:sz w:val="24"/>
          <w:szCs w:val="24"/>
        </w:rPr>
        <w:lastRenderedPageBreak/>
        <w:t>охране труда, предоставить работнику другую работу на время устранения такой опасности, либо оплатить возникший по этой причине простой в размере 2/3 заработка.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 утвердить инструкции по охране труда на каждое рабочее место с учетом мнения профкома (ст. 212 ТК РФ).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соблюдение работниками требований, правил и инструкций по охране труда.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в учреждении комиссию по охране труда, в состав которой на паритетной основе должны входить члены профкома.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совместно с профкомом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условий и охраны труда, выполнением соглашения по охране труда.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Оказывать содействие техническим инспекторам труда Профсоюза работников народного образования и науки РФ, членам комиссии по охране труда, уполномоченным (доверенным лицам) по охране труда в проведении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прохождение бесплатных предварительных и периодических медицинских осмотров работников, а также внеочередных осмотров работников по их просьбам в соответствии с медицинским заключением с сохранением за ни места работы (должности) и среднего заработка.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учет средств социального страхования на организацию лечения и отдыха работников и их детей.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комиссии по социальному страхованию приобретать путевки на лечение и отдых.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в год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Профком обязуется:</w:t>
      </w:r>
    </w:p>
    <w:p w:rsidR="003E1142" w:rsidRDefault="003E1142" w:rsidP="003E1142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культурные, физкультурно-оздоровительные мероприятия для членов профсоюза и других работников учреждения;</w:t>
      </w:r>
    </w:p>
    <w:p w:rsidR="003E1142" w:rsidRDefault="003E1142" w:rsidP="003E1142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работу по оздоровлению детей работников учреждения.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РАЗДЕЛ № 9 ГАРАНТИИИ ПРОФСОЮЗНОЙ ДЕЯТЕЛЬНОСТИ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E1142" w:rsidRDefault="003E1142" w:rsidP="003E1142">
      <w:pPr>
        <w:numPr>
          <w:ilvl w:val="0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 о том, что: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ограничение гарантированных законом социально трудовых и иных прав и свобод, принуждение, увольнение или другая форма воздействия в отношении любого работника в связи с его членством в профсоюзе или профсоюзной деятельностью.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Профком осуществляет в установленном порядке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принимает решение по согласованию с профкомом в случаях, предусмотренных законодательством и настоящим коллективным трудовым договором.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Увольнение работника, являющегося членом профсоюза, по п. 2, подпункту «б» п. 3 и п. 5 ст. 81 ТК РФ, производится с учетом мотивированного мнения профкома.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освобождает от работы с сохранением среднего заработка председателя и члена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профкома включаются в составы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с учетом мнения профкома рассматривает следующие вопросы:</w:t>
      </w:r>
    </w:p>
    <w:p w:rsidR="003E1142" w:rsidRDefault="003E1142" w:rsidP="003E1142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Запрещение работы в выходные и праздничные нерабочие дни (ст. 113 ТК РФ);</w:t>
      </w:r>
    </w:p>
    <w:p w:rsidR="003E1142" w:rsidRDefault="003E1142" w:rsidP="003E1142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предоставления отпусков (ст. 123 ТК РФ);</w:t>
      </w:r>
    </w:p>
    <w:p w:rsidR="003E1142" w:rsidRDefault="003E1142" w:rsidP="003E1142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Массовые увольнения (ст. 180 ТК РФ);</w:t>
      </w:r>
    </w:p>
    <w:p w:rsidR="003E1142" w:rsidRDefault="003E1142" w:rsidP="003E1142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перечня должностей работников с нормированным рабочим днем (ст. 101 ТК РФ).</w:t>
      </w:r>
    </w:p>
    <w:p w:rsidR="003E1142" w:rsidRDefault="003E1142" w:rsidP="003E1142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правил внутреннего трудового распорядка (ст. 190 ТК РФ);</w:t>
      </w:r>
    </w:p>
    <w:p w:rsidR="003E1142" w:rsidRDefault="003E1142" w:rsidP="003E1142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комиссий по охране труда (ст. 218 ТК РФ);</w:t>
      </w:r>
    </w:p>
    <w:p w:rsidR="003E1142" w:rsidRDefault="003E1142" w:rsidP="003E1142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графиков сменности (ст. 103 ТК РФ);</w:t>
      </w:r>
    </w:p>
    <w:p w:rsidR="003E1142" w:rsidRDefault="003E1142" w:rsidP="003E1142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и снятие дисциплинарного взыскания до истечения 1 года со дня его применения (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193, 194 ТК РФ);</w:t>
      </w:r>
    </w:p>
    <w:p w:rsidR="003E1142" w:rsidRDefault="003E1142" w:rsidP="003E1142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форм профессиональной подготовки, переподготовки и повышения квалификации работников, перечень необходимых профессий (ст. 196 ТК РФ).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10 ОБЯЗАТЕЛЬСТВА ПРОФКОМА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3E1142" w:rsidRDefault="003E1142" w:rsidP="003E1142">
      <w:pPr>
        <w:numPr>
          <w:ilvl w:val="0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Профком обязуется: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 расходования, стимулирующей части фонда оплаты труда,  внебюджетного фонда и иных фондов учреждения;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квалификационной категории по результатам аттестации работников;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работодателем и работниками разрабатывать меры по защите персональных данных работников (ст. 86 ТК РФ);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 защищать трудовые права членов профсоюза в комиссии по трудовым спорам и суде;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совместно с комиссией по социальному страхованию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своевременным назначением и выплатой работникам пособий по обязательному социальному страхованию;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работе комиссий по социальному страхованию, совместно с советом профсоюза по летнему оздоровлению детей работников учреждения;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комиссией по социальному страхованию вести учет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санаторно-курортном лечении, своевременно направлять заявки;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общественный контроль за своевременным и полным перечислением страховых платежей в фонд обязательного медицинского страхования;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 и своевременностью предоставления работникам отпусков и их оплаты;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работе комиссий учреждения по тарификации, аттестации педагогических работников, аттестации рабочих мест, охране труда и других;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предоставления работодателем в пенсионные органы достоверных сведений о заработке и страховых взносах работников.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Оказывать материальную помощь членам профсоюза в случае смерти </w:t>
      </w:r>
      <w:proofErr w:type="gramStart"/>
      <w:r>
        <w:rPr>
          <w:rFonts w:ascii="Times New Roman" w:hAnsi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/>
          <w:sz w:val="24"/>
          <w:szCs w:val="24"/>
        </w:rPr>
        <w:t>, на лечение;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культурно-массовую и физкультурно-оздоровительную работу в учреждении.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№ 11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ВЫПОЛНЕНИЕМ КОЛЛЕКТИВНОГО ДОГОВОРА.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E1142" w:rsidRDefault="003E1142" w:rsidP="003E1142">
      <w:pPr>
        <w:tabs>
          <w:tab w:val="left" w:pos="360"/>
          <w:tab w:val="left" w:pos="540"/>
          <w:tab w:val="left" w:pos="720"/>
        </w:tabs>
        <w:spacing w:after="0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3E1142" w:rsidRDefault="003E1142" w:rsidP="003E1142">
      <w:pPr>
        <w:numPr>
          <w:ilvl w:val="0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что: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направляет коллективный договор в течение семи дней со дня его подписания, на уведомительную регистрацию в соответствующий орган по труду;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разрабатывают план мероприятий по выполнению настоящего коллективного договора;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Осуществляют контроль за реализацией плана мероприятий по выполнению коллективного договора и его </w:t>
      </w:r>
      <w:proofErr w:type="gramStart"/>
      <w:r>
        <w:rPr>
          <w:rFonts w:ascii="Times New Roman" w:hAnsi="Times New Roman"/>
          <w:sz w:val="24"/>
          <w:szCs w:val="24"/>
        </w:rPr>
        <w:t>положений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и отчитывается о результатах контроля на общем собрании работников два раза в год;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Рассматривают в срок 10 дней все возникающие в период действия коллективного договора разногласия и конфликты, связанные с его выполнением;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Соблюдают установленный законодательством порядок разрешения индивидуальных и коллективных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</w:t>
      </w:r>
      <w:r>
        <w:rPr>
          <w:rFonts w:ascii="Times New Roman" w:hAnsi="Times New Roman"/>
          <w:sz w:val="24"/>
          <w:szCs w:val="24"/>
          <w:highlight w:val="green"/>
        </w:rPr>
        <w:t xml:space="preserve"> </w:t>
      </w:r>
      <w:r>
        <w:rPr>
          <w:rFonts w:ascii="Times New Roman" w:hAnsi="Times New Roman"/>
          <w:sz w:val="24"/>
          <w:szCs w:val="24"/>
        </w:rPr>
        <w:t>забастовки;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 законодательством.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коллективный договор действует в течение трех лет со дня его подписания.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Переговоры по заключению нового коллективного договора будут начаты за два месяца до окончания срока действия данного договора.</w:t>
      </w:r>
    </w:p>
    <w:p w:rsidR="003E1142" w:rsidRDefault="003E1142" w:rsidP="003E1142">
      <w:pPr>
        <w:numPr>
          <w:ilvl w:val="1"/>
          <w:numId w:val="11"/>
        </w:numPr>
        <w:tabs>
          <w:tab w:val="left" w:pos="360"/>
          <w:tab w:val="left" w:pos="540"/>
          <w:tab w:val="left" w:pos="72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принятых сторонами обязательств возлагается:</w:t>
      </w:r>
    </w:p>
    <w:p w:rsidR="003E1142" w:rsidRDefault="003E1142" w:rsidP="003E1142">
      <w:p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E1142" w:rsidRDefault="003E1142" w:rsidP="003E1142">
      <w:p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5068"/>
      </w:tblGrid>
      <w:tr w:rsidR="003E1142" w:rsidTr="003E1142">
        <w:tc>
          <w:tcPr>
            <w:tcW w:w="3969" w:type="dxa"/>
            <w:hideMark/>
          </w:tcPr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 стороны администрации: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заведующую МБДОУ 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д/сада №  31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Комышеву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Татьяну Ивановну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_________________ 2014 года</w:t>
            </w:r>
          </w:p>
        </w:tc>
        <w:tc>
          <w:tcPr>
            <w:tcW w:w="5068" w:type="dxa"/>
            <w:hideMark/>
          </w:tcPr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 стороны профкома: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председателя профкома 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д/сада № 31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Наталью Алексеевну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3E1142" w:rsidRDefault="003E1142">
            <w:pPr>
              <w:tabs>
                <w:tab w:val="left" w:pos="360"/>
                <w:tab w:val="left" w:pos="540"/>
                <w:tab w:val="left" w:pos="720"/>
                <w:tab w:val="left" w:pos="993"/>
              </w:tabs>
              <w:spacing w:after="0"/>
              <w:ind w:left="54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__________________ 2014 года</w:t>
            </w:r>
          </w:p>
        </w:tc>
      </w:tr>
    </w:tbl>
    <w:p w:rsidR="003E1142" w:rsidRDefault="003E1142" w:rsidP="003E1142">
      <w:pPr>
        <w:tabs>
          <w:tab w:val="left" w:pos="360"/>
          <w:tab w:val="left" w:pos="540"/>
          <w:tab w:val="left" w:pos="720"/>
          <w:tab w:val="left" w:pos="993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097A52" w:rsidRDefault="00097A52">
      <w:bookmarkStart w:id="0" w:name="_GoBack"/>
      <w:bookmarkEnd w:id="0"/>
    </w:p>
    <w:sectPr w:rsidR="0009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40F"/>
    <w:multiLevelType w:val="hybridMultilevel"/>
    <w:tmpl w:val="C722E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40F9F"/>
    <w:multiLevelType w:val="hybridMultilevel"/>
    <w:tmpl w:val="DBAE5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F03677"/>
    <w:multiLevelType w:val="hybridMultilevel"/>
    <w:tmpl w:val="69845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71F41"/>
    <w:multiLevelType w:val="multilevel"/>
    <w:tmpl w:val="FD1A8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6C40B8E"/>
    <w:multiLevelType w:val="hybridMultilevel"/>
    <w:tmpl w:val="D792A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876E1"/>
    <w:multiLevelType w:val="hybridMultilevel"/>
    <w:tmpl w:val="D520D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52649"/>
    <w:multiLevelType w:val="hybridMultilevel"/>
    <w:tmpl w:val="0B701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B8625F"/>
    <w:multiLevelType w:val="hybridMultilevel"/>
    <w:tmpl w:val="C79645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9E71A5D"/>
    <w:multiLevelType w:val="hybridMultilevel"/>
    <w:tmpl w:val="21FE7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11CEE"/>
    <w:multiLevelType w:val="multilevel"/>
    <w:tmpl w:val="E1B22AD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66A928CE"/>
    <w:multiLevelType w:val="hybridMultilevel"/>
    <w:tmpl w:val="3E8AA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8B603B"/>
    <w:multiLevelType w:val="hybridMultilevel"/>
    <w:tmpl w:val="E8E2A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887F7E"/>
    <w:multiLevelType w:val="hybridMultilevel"/>
    <w:tmpl w:val="CDAE1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D168C8"/>
    <w:multiLevelType w:val="multilevel"/>
    <w:tmpl w:val="FD1A877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4">
    <w:nsid w:val="780E73ED"/>
    <w:multiLevelType w:val="hybridMultilevel"/>
    <w:tmpl w:val="2ECCCD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E"/>
    <w:rsid w:val="00097A52"/>
    <w:rsid w:val="001A738E"/>
    <w:rsid w:val="003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2014-06-11T06:49:00Z</cp:lastPrinted>
  <dcterms:created xsi:type="dcterms:W3CDTF">2014-06-11T06:47:00Z</dcterms:created>
  <dcterms:modified xsi:type="dcterms:W3CDTF">2014-06-11T06:49:00Z</dcterms:modified>
</cp:coreProperties>
</file>